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_rels/chart1.xml.rels" ContentType="application/vnd.openxmlformats-package.relationships+xml"/>
  <Override PartName="/word/charts/_rels/chart2.xml.rels" ContentType="application/vnd.openxmlformats-package.relationships+xml"/>
  <Override PartName="/word/charts/_rels/chart3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embeddings/Microsoft_Excel_Worksheet3.xlsx" ContentType="application/vnd.openxmlformats-officedocument.spreadsheetml.sheet"/>
  <Override PartName="/word/embeddings/Microsoft_Excel_Worksheet2.xlsx" ContentType="application/vnd.openxmlformats-officedocument.spreadsheetml.sheet"/>
  <Override PartName="/word/embeddings/Microsoft_Excel_Worksheet1.xlsx" ContentType="application/vnd.openxmlformats-officedocument.spreadsheetml.sheet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Отчет об исполнении бюджета Кировского сельского поселения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Светлоярского муниципального района Волгоградской области</w:t>
      </w:r>
    </w:p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за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2023 года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текущем году исполнение местного бюджета осуществлялось в рамках мероприятий, направленных на сохранение стабильности финансовой системы поселения. Основными задачами деятельности по исполнению бюджета являлось укрепление доходной базы, обеспечение стабильного финансирования первоочередных обязательств бюджета, экономия и оптимизация бюджетных расходов.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Основными итогами исполнения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2023 года являются:</w:t>
      </w:r>
    </w:p>
    <w:p>
      <w:pPr>
        <w:pStyle w:val="Normal"/>
        <w:rPr/>
      </w:pPr>
      <w:r>
        <w:rPr/>
      </w:r>
    </w:p>
    <w:tbl>
      <w:tblPr>
        <w:tblW w:w="907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69"/>
        <w:gridCol w:w="4602"/>
      </w:tblGrid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Исполнение (тыс. рублей)</w:t>
            </w:r>
          </w:p>
        </w:tc>
      </w:tr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16 633,6</w:t>
            </w:r>
          </w:p>
        </w:tc>
      </w:tr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12 879,6</w:t>
            </w:r>
          </w:p>
        </w:tc>
      </w:tr>
      <w:tr>
        <w:trPr>
          <w:trHeight w:val="172" w:hRule="atLeast"/>
        </w:trPr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 ( + )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3 754,0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Доходы бюджета поселения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бюджет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2023 года поступило доходов в сумме 16 633,6 тыс. рублей. Исполнение годовых бюджетных назначений составило 28,3%. По сравнению с аналогичным периодом прошлого года поступление доходов уменьшилось  на 9 968,7 тыс. рублей или на 37,5%.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Наибольший удельный вес в структуре доходов бюджета Кировского сельского поселения, поступивших в бюджет за I полугодие текущего финансового года, приходится на собственные доходы (налоговые и неналоговые доходы) 73,7%, на безвозмездные поступления 26,3% от  общей суммы поступивших доходов.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Структура собственных доходов бюджета Кировского сельского поселения, сложившаяся по состоянию на 01.07.2023 года, представлена на рис.1.</w:t>
      </w:r>
      <w:r>
        <w:rPr/>
        <w:drawing>
          <wp:inline distT="0" distB="0" distL="0" distR="0">
            <wp:extent cx="5413375" cy="2252980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Рис.1: Структура собственных доходов бюджета Кировского сельского поселения на 01.07.2023 года</w:t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Фактическое поступление налоговых и неналоговых доходов за </w:t>
      </w:r>
      <w:r>
        <w:rPr>
          <w:rFonts w:ascii="Calibri" w:hAnsi="Calibri"/>
          <w:sz w:val="26"/>
          <w:szCs w:val="26"/>
        </w:rPr>
        <w:t>I</w:t>
      </w:r>
      <w:r>
        <w:rPr>
          <w:sz w:val="26"/>
          <w:szCs w:val="26"/>
        </w:rPr>
        <w:t xml:space="preserve"> полугодие 2023 года составило 12 256,7 тыс. рублей, плановые назначения исполнены на 25,7%. По сравнению с аналогичным периодом прошлого года поступления уменьшились на  9 933,2 тыс. рублей или на 44,8%.</w:t>
      </w:r>
    </w:p>
    <w:p>
      <w:pPr>
        <w:pStyle w:val="Normal"/>
        <w:spacing w:lineRule="auto" w:line="276"/>
        <w:ind w:firstLine="567"/>
        <w:jc w:val="both"/>
        <w:rPr>
          <w:szCs w:val="26"/>
        </w:rPr>
      </w:pPr>
      <w:r>
        <w:rPr>
          <w:b/>
          <w:sz w:val="26"/>
          <w:szCs w:val="26"/>
        </w:rPr>
        <w:t xml:space="preserve">Налог на доходы физических лиц </w:t>
      </w:r>
      <w:r>
        <w:rPr>
          <w:sz w:val="26"/>
          <w:szCs w:val="26"/>
        </w:rPr>
        <w:t>поступил в сумме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3 597,0 тыс. рублей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или 29,4% в общей сумме собственных доходов. Годовые бюджетные назначения исполнены на 41,1%. По сравнению с аналогичным периодом прошлого года поступления уменьшились на 145,7 тыс. рублей или на 3,9%.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Поступление </w:t>
      </w:r>
      <w:r>
        <w:rPr>
          <w:b/>
          <w:sz w:val="26"/>
          <w:szCs w:val="26"/>
        </w:rPr>
        <w:t>акцизов по подакцизным товарам (продукции), производимым на территории РФ</w:t>
      </w:r>
      <w:r>
        <w:rPr>
          <w:sz w:val="26"/>
          <w:szCs w:val="26"/>
        </w:rPr>
        <w:t>, составило 809,5 тыс. рублей или 6,6% в общей сумме собственных доходов.  Годовые бюджетные назначения исполнены на 54,5%. По сравнению с аналогичным периодом прошлого года поступления увеличились  на 359,5 тыс. рублей или на 79,9%, что связано со увеличением норматива отчислений в бюджет Кировского сельского поселения.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Единый сельскохозяйственный налог</w:t>
      </w:r>
      <w:r>
        <w:rPr>
          <w:sz w:val="26"/>
          <w:szCs w:val="26"/>
        </w:rPr>
        <w:t xml:space="preserve"> составил 14,7 тыс. рублей или 0,1% в общей сумме собственных доходов.  Годовые бюджетные назначения не утверждались. По сравнению с аналогичным периодом прошлого года поступления увеличились на 3,1 тыс. рублей или на 26,7%.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Налог на имущество физических лиц</w:t>
      </w:r>
      <w:r>
        <w:rPr>
          <w:sz w:val="26"/>
          <w:szCs w:val="26"/>
        </w:rPr>
        <w:t xml:space="preserve"> поступил в сумме -20,8 тыс. рублей или -0,2 % в общей сумме собственных доходов. Годовые бюджетные назначения исполнены на -2,3%. По сравнению с аналогичным периодом прошлого года поступления уменьшились на 150,0 тыс. рублей или на -116,1%, что связано с оплатой налога за 2021 (погашение задолженности) в первом полугодии 2022 года.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Земельный налог</w:t>
      </w:r>
      <w:r>
        <w:rPr>
          <w:sz w:val="26"/>
          <w:szCs w:val="26"/>
        </w:rPr>
        <w:t xml:space="preserve"> поступил в сумме 7 443,6 тыс. рублей или 60,7% в общей сумме собственных доходов. Годовые бюджетные назначения исполнены на 20,7%. По сравнению с аналогичным периодом прошлого года поступления уменьшились на 10 128,9 или на 57,6%. На уменьшение поступления земельного налога в 1 полугодии 2023 года по отношению к 1 полугодию 2022 года, является оплата авансового платежа в 1 квартале 2022 года от ФБУ «Администрация «Волго–Дон»  за 4 квартал 2020 года, так как авансовый платеж был перечислен в декабре 2020 года и зачислен УФК по Волгоградской области в 2020 году.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6"/>
          <w:szCs w:val="26"/>
        </w:rPr>
        <w:t>, поступили в сумме 371,0 тыс. рублей или 3,0% в общей сумме собственных доходов. Годовые бюджетные назначения исполнены на 58,3%, а именно - доходы от сдачи в аренду имущества, находящегося в оперативном управлении органов управления поселений и созданных ими учреждений. По сравнению с аналогичным периодом прошлого года поступления увеличилось на 88,1 тыс. рублей или на 31,1%.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Доходы от оказания платных услуг и компенсации затрат государства,</w:t>
      </w:r>
      <w:r>
        <w:rPr>
          <w:sz w:val="26"/>
          <w:szCs w:val="26"/>
        </w:rPr>
        <w:t xml:space="preserve"> поступили в размере 12,0 тыс. рублей или 0,1% собственных доходов, годовые бюджетные назначения не утверждались. По сравнению с аналогичным периодом прошлого года поступление увеличилось на 12,0 тыс. рублей или на 100,0%, согласно бухгалтерской справке № 1 от 13.04.2023г.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b/>
          <w:sz w:val="26"/>
          <w:szCs w:val="26"/>
        </w:rPr>
        <w:t>Штрафы, санкции, возмещение ущерба</w:t>
      </w:r>
      <w:r>
        <w:rPr>
          <w:sz w:val="26"/>
          <w:szCs w:val="26"/>
        </w:rPr>
        <w:t xml:space="preserve"> поступили в сумме 29,8 тыс. рублей, годовые бюджетные назначения не утверждались. По сравнению с аналогичным периодом прошлого года поступления увеличились на 28,8 тыс. рублей или на 2 880 %, что</w:t>
      </w:r>
      <w:r>
        <w:rPr>
          <w:rFonts w:cs="Arial" w:ascii="Arial" w:hAnsi="Arial"/>
        </w:rPr>
        <w:t xml:space="preserve"> </w:t>
      </w:r>
      <w:r>
        <w:rPr>
          <w:sz w:val="26"/>
          <w:szCs w:val="26"/>
        </w:rPr>
        <w:t>связано с увеличением административных нарушений.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Безвозмездных поступлений</w:t>
      </w:r>
      <w:r>
        <w:rPr>
          <w:sz w:val="26"/>
          <w:szCs w:val="26"/>
        </w:rPr>
        <w:t xml:space="preserve"> за I полугодие 2023 года получено в сумме 4 376,9 тыс. рублей. Годовые бюджетные назначения исполнены на 39,8%. По сравнению с аналогичным периодом прошлого года поступления уменьшились на 35,5 тыс. рублей  или на 0,8%. В том числе поступило: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- дотации бюджетам бюджетной системы Российской Федерации - в сумме 4 191,0 тыс. рублей. </w:t>
      </w:r>
      <w:r>
        <w:rPr>
          <w:sz w:val="26"/>
          <w:szCs w:val="26"/>
        </w:rPr>
        <w:t>Годовые бюджетные назначения исполнены на 50,0%</w:t>
      </w:r>
      <w:r>
        <w:rPr>
          <w:sz w:val="26"/>
          <w:szCs w:val="26"/>
          <w:lang w:eastAsia="ar-SA"/>
        </w:rPr>
        <w:t>;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>-</w:t>
      </w:r>
      <w:r>
        <w:rPr>
          <w:sz w:val="24"/>
          <w:szCs w:val="24"/>
          <w:lang w:eastAsia="ar-SA"/>
        </w:rPr>
        <w:t xml:space="preserve"> </w:t>
      </w:r>
      <w:r>
        <w:rPr>
          <w:sz w:val="26"/>
          <w:szCs w:val="26"/>
          <w:lang w:eastAsia="ar-SA"/>
        </w:rPr>
        <w:t>субвенции бюджетам бюджетной системы Российской Федерации - в сумме 145,6 тыс. рублей.</w:t>
      </w:r>
      <w:r>
        <w:rPr>
          <w:sz w:val="26"/>
          <w:szCs w:val="26"/>
        </w:rPr>
        <w:t xml:space="preserve"> Годовые бюджетные назначения исполнены на 38,8%;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</w:rPr>
        <w:t>- иные межбюджетные трансферты – в сумме 40,3 тыс. рублей. Годовые бюджетные назначения исполнены на 1,8%.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Расходы бюджета поселения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Расходы бюджета Кировского сельского поселения по ГРБС                    </w:t>
      </w:r>
      <w:r>
        <w:rPr>
          <w:b/>
          <w:sz w:val="26"/>
          <w:szCs w:val="26"/>
        </w:rPr>
        <w:t xml:space="preserve">950 «Администрация Кировского сельского поселения» </w:t>
      </w:r>
      <w:r>
        <w:rPr>
          <w:sz w:val="26"/>
          <w:szCs w:val="26"/>
        </w:rPr>
        <w:t xml:space="preserve">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2023 года составили 12 879,6 тыс. рублей. Годовые плановые назначения исполнены на 21,9 %.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2023 года по разделам бюджетной классификации характеризуется следующими данными:</w:t>
      </w:r>
    </w:p>
    <w:tbl>
      <w:tblPr>
        <w:tblW w:w="908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83"/>
        <w:gridCol w:w="1843"/>
        <w:gridCol w:w="1559"/>
        <w:gridCol w:w="1701"/>
      </w:tblGrid>
      <w:tr>
        <w:trPr>
          <w:trHeight w:val="578" w:hRule="atLeast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 на 2023 год,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Исполнение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01.07.2023,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% исполнения годового плана</w:t>
            </w:r>
          </w:p>
        </w:tc>
      </w:tr>
      <w:tr>
        <w:trPr>
          <w:trHeight w:val="253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>
          <w:trHeight w:val="25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6 400,6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3 641,1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56,9</w:t>
            </w:r>
          </w:p>
        </w:tc>
      </w:tr>
      <w:tr>
        <w:trPr>
          <w:trHeight w:val="282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356,9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</w:t>
            </w:r>
          </w:p>
        </w:tc>
      </w:tr>
      <w:tr>
        <w:trPr>
          <w:trHeight w:val="35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1 182,7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388,4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32,8</w:t>
            </w:r>
          </w:p>
        </w:tc>
      </w:tr>
      <w:tr>
        <w:trPr>
          <w:trHeight w:val="21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7 381,9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364,8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>
        <w:trPr>
          <w:trHeight w:val="247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33 209,5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3 675,2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</w:t>
            </w:r>
          </w:p>
        </w:tc>
      </w:tr>
      <w:tr>
        <w:trPr>
          <w:trHeight w:val="237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269,5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85,9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</w:t>
            </w:r>
          </w:p>
        </w:tc>
      </w:tr>
      <w:tr>
        <w:trPr>
          <w:trHeight w:val="226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9 178,6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4 315,4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</w:tr>
      <w:tr>
        <w:trPr>
          <w:trHeight w:val="231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394,7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</w:t>
            </w:r>
          </w:p>
        </w:tc>
      </w:tr>
      <w:tr>
        <w:trPr>
          <w:trHeight w:val="221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342,4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</w:tr>
      <w:tr>
        <w:trPr>
          <w:trHeight w:val="239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58 716,8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12 879,6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21,9</w:t>
            </w:r>
          </w:p>
        </w:tc>
      </w:tr>
    </w:tbl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spacing w:lineRule="exact" w:line="298"/>
        <w:ind w:left="20" w:right="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диаграммы, представленной на рисунке 2, видно, что наибольший удельный вес в общих расходах поселения занимают расходы по разделу      </w:t>
      </w:r>
      <w:r>
        <w:rPr>
          <w:b/>
          <w:bCs/>
          <w:sz w:val="26"/>
          <w:szCs w:val="26"/>
          <w:shd w:fill="FFFFFF" w:val="clear"/>
        </w:rPr>
        <w:t xml:space="preserve">0800 «Культура, кинематография» </w:t>
      </w:r>
      <w:r>
        <w:rPr>
          <w:sz w:val="26"/>
          <w:szCs w:val="26"/>
        </w:rPr>
        <w:t>- 33,5 %, а наименьший - по разделу</w:t>
      </w:r>
      <w:r>
        <w:rPr>
          <w:b/>
          <w:bCs/>
          <w:sz w:val="26"/>
          <w:szCs w:val="26"/>
          <w:shd w:fill="FFFFFF" w:val="clear"/>
        </w:rPr>
        <w:t xml:space="preserve">      </w:t>
      </w:r>
      <w:r>
        <w:rPr>
          <w:b/>
          <w:sz w:val="26"/>
          <w:szCs w:val="26"/>
        </w:rPr>
        <w:t xml:space="preserve">1100 </w:t>
      </w:r>
      <w:r>
        <w:rPr>
          <w:b/>
          <w:bCs/>
          <w:sz w:val="26"/>
          <w:szCs w:val="26"/>
          <w:shd w:fill="FFFFFF" w:val="clear"/>
        </w:rPr>
        <w:t>«Физическая культура и спорт»</w:t>
      </w:r>
      <w:r>
        <w:rPr>
          <w:sz w:val="26"/>
          <w:szCs w:val="26"/>
        </w:rPr>
        <w:t xml:space="preserve"> - 0,4 %. </w:t>
      </w:r>
    </w:p>
    <w:p>
      <w:pPr>
        <w:pStyle w:val="Normal"/>
        <w:jc w:val="center"/>
        <w:rPr>
          <w:b/>
          <w:b/>
          <w:sz w:val="24"/>
          <w:szCs w:val="24"/>
        </w:rPr>
      </w:pPr>
      <w:bookmarkStart w:id="0" w:name="_MON_1458473227"/>
      <w:bookmarkStart w:id="1" w:name="_MON_1458472840"/>
      <w:bookmarkStart w:id="2" w:name="_MON_1458469938"/>
      <w:bookmarkEnd w:id="0"/>
      <w:bookmarkEnd w:id="1"/>
      <w:bookmarkEnd w:id="2"/>
      <w:r>
        <w:rPr/>
        <w:drawing>
          <wp:inline distT="0" distB="0" distL="0" distR="0">
            <wp:extent cx="5518150" cy="1995805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"/>
              </a:graphicData>
            </a:graphic>
          </wp:inline>
        </w:drawing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Рис. 2. Структура расходов бюджета Кировского сельского поселения за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полугодие 2023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>
      <w:pPr>
        <w:pStyle w:val="Normal"/>
        <w:spacing w:lineRule="exact" w:line="302"/>
        <w:ind w:left="20" w:right="20"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разрезе разделов бюджетной классификации исполнение бюджета по расходам следующее.</w:t>
      </w:r>
    </w:p>
    <w:p>
      <w:pPr>
        <w:pStyle w:val="Normal"/>
        <w:spacing w:lineRule="exact" w:line="302"/>
        <w:ind w:left="20" w:right="20" w:firstLine="720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b/>
          <w:sz w:val="26"/>
          <w:szCs w:val="26"/>
        </w:rPr>
        <w:t xml:space="preserve">0100 «Общегосударственные вопросы» </w:t>
      </w:r>
      <w:r>
        <w:rPr>
          <w:sz w:val="26"/>
          <w:szCs w:val="26"/>
        </w:rPr>
        <w:t xml:space="preserve">расходы составили 3 641,1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тыс. рублей или 28,3 % в общей сумме расходов. План годовых назначений выполнен на 56,9 %. По подразделам расходы следующие: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0102 «Функционирование высшего должностного лица субъекта Российской Федерации и муниципального образования» - 283,3 тыс. рублей, план годовых назначений выполнен на 29,5 %;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- 1 816,4 тыс. рублей, план годовых назначений выполнен на 56,1 %;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0106 «Обеспечение деятельности финансовых, налоговых и таможенных органов и органов финансового (финансово-бюджетного) надзора» - 47,5 тыс. рублей, план годовых назначений выполнен на 50,0 %;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0107 «Обеспечение проведения выборов и референдумов» - 955,0 тыс. рублей, план годовых назначений выполнен на 100,0 %;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0111 «Резервные фонды» - при плановых назначениях в сумме 11,0 тыс. рублей расходы не производились;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0113 «Другие общегосударственные вопросы» - 538,9 тыс. рублей, план годовых назначений выполнен на 47,2 %.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0200 «Национальная оборона»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(подраздел 0203 «Мобилизационная и вневойсковая подготовка») расходы составили 136,2 тыс. рублей или 1,1 % в общей сумме расходов. План годовых назначений выполнен на 38,2 %.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0300 «Национальная безопасность и правоохранительная деятельность»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расходы составили 388,4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тыс. рублей или 3,0 % в общей сумме расходов. План годовых назначений выполнен на 32,8 %. По подразделам расходы следующие: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0309 «Гражданская оборона» при плановых назначениях в сумме 10,0 тыс. рублей расходы отсутствуют;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0310 «Защита населения и территории от чрезвычайных ситуаций природного и техногенного характера, пожарная безопасность» -   363,9 тыс. рублей, план годовых назначений выполнен на 32,4 %;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по подразделу 0314 «Другие вопросы в области национальной безопасности и правоохранительной деятельности» - 24,5 тыс. рублей, план годовых назначений выполнен на 50,1 %.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0400 «Национальная экономика»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расходы составили      364,8 тыс. рублей или 2,8 % в общей сумме расходов. План годовых назначений выполнен на 4,9 %.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0409 «Дорожное хозяйство (дорожные фонды)» -        364,8 тыс. рублей, план годовых назначений выполнен на 5,1 %;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0412 «Другие вопросы в области национальной экономики» - при плановых назначениях в сумме 200,0 тыс. рублей расходы не производились.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 xml:space="preserve">0500 «Жилищно-коммунальное хозяйство»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расходы составили 3 675,2 тыс. рублей, что составляет 28,5 % в общей сумме расходов. План годовых назначений по разделу выполнен на 11,1 %.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0501 «Жилищное хозяйство» - 37,0 тыс. рублей план годовых назначений выполнен на 1,0 %;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0502 «Коммунальное хозяйство» - при плановых назначениях в сумме 20 616,7 тыс. рублей расходы отсутствуют;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0503 «Благоустройство» - 3 638,2 тыс. рублей, план годовых назначений выполнен на 40,9 %.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0700 «О</w:t>
      </w:r>
      <w:r>
        <w:rPr>
          <w:b/>
          <w:sz w:val="26"/>
          <w:szCs w:val="26"/>
        </w:rPr>
        <w:t>бразование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расходы составили 85,9 тыс. рублей, что составляет 0,7 % в общей сумме расходов. План годовых назначений по разделу выполнен на 31,9 %.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0705 «Профессиональная подготовка, переподготовка и повышение квалификации» при плановых назначениях в сумме 30,0 тыс. рублей расходы не производились;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0707 «Молодёжная политика» - 85,9 тыс. рублей, план годовых назначений выполнен на 35,9 %.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0800 «</w:t>
      </w:r>
      <w:r>
        <w:rPr>
          <w:b/>
          <w:sz w:val="26"/>
          <w:szCs w:val="26"/>
        </w:rPr>
        <w:t xml:space="preserve">Культура, кинематография» </w:t>
      </w:r>
      <w:r>
        <w:rPr>
          <w:sz w:val="26"/>
          <w:szCs w:val="26"/>
        </w:rPr>
        <w:t xml:space="preserve">(подраздел                  0801 «Культура»)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расходы составили 4 315,4 тыс. рублей или 33,5 % в общей сумме расходов. План годовых назначений выполнен на 47,0 %. В том числе расходы на обеспечение деятельности Дома культуры – 3 304,5 тыс. рублей, библиотеки – 739,6 тыс. рублей. Расходы на проведение культурно-массовых мероприятий составили 258,1 тыс. рублей, на уплату налогов – 13,2 тыс. рублей.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1000 «Социальная политика» (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подраздел 1001 «Пенсионное обеспечение») расходы составили 219,1 тыс. рублей или 1,7 % в общей сумме расходов. План годовых назначений выполнен на 55,5 %.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1100 «</w:t>
      </w:r>
      <w:r>
        <w:rPr>
          <w:b/>
          <w:sz w:val="26"/>
          <w:szCs w:val="26"/>
        </w:rPr>
        <w:t xml:space="preserve">Физическая культура и спорт» </w:t>
      </w:r>
      <w:r>
        <w:rPr>
          <w:sz w:val="26"/>
          <w:szCs w:val="26"/>
        </w:rPr>
        <w:t xml:space="preserve">(подраздел              1102 «Массовый спорт»)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расходы составили 53,5 тыс. рублей или 0,4 % в общей сумме расходов. План годовых назначений выполнен на 15,6 %.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bookmarkStart w:id="3" w:name="_GoBack"/>
      <w:bookmarkEnd w:id="3"/>
      <w:r/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38735</wp:posOffset>
            </wp:positionH>
            <wp:positionV relativeFrom="paragraph">
              <wp:posOffset>427990</wp:posOffset>
            </wp:positionV>
            <wp:extent cx="5822315" cy="1565275"/>
            <wp:effectExtent l="0" t="0" r="0" b="0"/>
            <wp:wrapSquare wrapText="bothSides"/>
            <wp:docPr id="3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  <w:t>Э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кономическая структура расходов бюджета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поселения характеризуется следующими показателями (рисунок 3).</w:t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Рис. 3. Экономическая структура расходов бюджета Кировского сельского поселения за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полугодие 2023</w:t>
      </w:r>
      <w:r>
        <w:rPr>
          <w:sz w:val="26"/>
          <w:szCs w:val="26"/>
        </w:rPr>
        <w:t xml:space="preserve"> </w:t>
      </w:r>
      <w:r>
        <w:rPr>
          <w:b/>
          <w:sz w:val="24"/>
          <w:szCs w:val="24"/>
        </w:rPr>
        <w:t>года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выплаты персоналу и взносы по обязательному социальному страхованию сумма расходов составила 4 741,0 тыс. рублей или 36,8 % в общей сумме расходов бюджета.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закупку товаров, работ и услуг для муниципальных нужд расходы составили 6 728,6 тыс. рублей или 52,3 %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социальное обеспечение и иные выплаты населению расходы составили 219,1 тыс. рублей или 1,7 %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межбюджетный трансферт в муниципальный район по Соглашению о передаче части полномочий поселения муниципальному району сумма расходов составила 209,8 тыс. рублей или 1,6 %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иные бюджетные ассигнования сумма расходов составила 981,1 тыс. рублей или 7,6 % в общей сумме расходов бюджета. </w:t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Normal"/>
        <w:ind w:hanging="0"/>
        <w:jc w:val="center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Источники финансирования дефицита бюджета</w:t>
      </w:r>
    </w:p>
    <w:p>
      <w:pPr>
        <w:pStyle w:val="Normal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 Кировского сельского поселения за </w:t>
      </w:r>
      <w:r>
        <w:rPr>
          <w:rFonts w:cs="Times New Roman" w:ascii="Times New Roman" w:hAnsi="Times New Roman"/>
          <w:sz w:val="26"/>
          <w:szCs w:val="26"/>
        </w:rPr>
        <w:t>I полугодие</w:t>
      </w:r>
      <w:r>
        <w:rPr>
          <w:rFonts w:ascii="Times New Roman" w:hAnsi="Times New Roman"/>
          <w:sz w:val="26"/>
          <w:szCs w:val="26"/>
        </w:rPr>
        <w:t xml:space="preserve"> 2023 года исполнен с превышением доходов над расходами (профицит бюджета) в размере 3 754,0 тыс. рублей.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финансового органа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Кировского сельского поселения</w:t>
        <w:tab/>
        <w:tab/>
        <w:tab/>
        <w:tab/>
        <w:t xml:space="preserve">                Н. Е. Игнатова</w:t>
      </w:r>
    </w:p>
    <w:p>
      <w:pPr>
        <w:pStyle w:val="Normal"/>
        <w:jc w:val="center"/>
        <w:rPr>
          <w:sz w:val="26"/>
          <w:szCs w:val="26"/>
        </w:rPr>
      </w:pPr>
      <w:r>
        <w:rPr/>
      </w:r>
    </w:p>
    <w:sectPr>
      <w:footerReference w:type="default" r:id="rId5"/>
      <w:type w:val="nextPage"/>
      <w:pgSz w:w="11906" w:h="16838"/>
      <w:pgMar w:left="1701" w:right="1134" w:header="0" w:top="1134" w:footer="709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38759092"/>
    </w:sdtPr>
    <w:sdtContent>
      <w:p>
        <w:pPr>
          <w:pStyle w:val="Style27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Style27"/>
      <w:rPr/>
    </w:pPr>
    <w:r>
      <w:rPr/>
    </w:r>
  </w:p>
</w:ftr>
</file>

<file path=word/settings.xml><?xml version="1.0" encoding="utf-8"?>
<w:settings xmlns:w="http://schemas.openxmlformats.org/wordprocessingml/2006/main">
  <w:zoom w:percent="13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c6b6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qFormat/>
    <w:rsid w:val="004424ee"/>
    <w:pPr>
      <w:keepNext w:val="true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link w:val="a5"/>
    <w:qFormat/>
    <w:rsid w:val="00733dcd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link w:val="a9"/>
    <w:uiPriority w:val="99"/>
    <w:qFormat/>
    <w:rsid w:val="000b4fb1"/>
    <w:rPr/>
  </w:style>
  <w:style w:type="character" w:styleId="21" w:customStyle="1">
    <w:name w:val="Заголовок 2 Знак"/>
    <w:link w:val="2"/>
    <w:qFormat/>
    <w:rsid w:val="00cc6b63"/>
    <w:rPr>
      <w:sz w:val="28"/>
    </w:rPr>
  </w:style>
  <w:style w:type="character" w:styleId="Style15" w:customStyle="1">
    <w:name w:val="Основной текст Знак"/>
    <w:basedOn w:val="DefaultParagraphFont"/>
    <w:link w:val="ac"/>
    <w:qFormat/>
    <w:rsid w:val="006d56d6"/>
    <w:rPr/>
  </w:style>
  <w:style w:type="character" w:styleId="Style16" w:customStyle="1">
    <w:name w:val="Основной текст_"/>
    <w:basedOn w:val="DefaultParagraphFont"/>
    <w:link w:val="1"/>
    <w:qFormat/>
    <w:rsid w:val="009f74d3"/>
    <w:rPr>
      <w:sz w:val="24"/>
      <w:szCs w:val="24"/>
      <w:shd w:fill="FFFFFF" w:val="clear"/>
    </w:rPr>
  </w:style>
  <w:style w:type="character" w:styleId="Style17" w:customStyle="1">
    <w:name w:val="Основной текст + Полужирный"/>
    <w:basedOn w:val="Style16"/>
    <w:qFormat/>
    <w:rsid w:val="009f74d3"/>
    <w:rPr>
      <w:b/>
      <w:bCs/>
      <w:sz w:val="24"/>
      <w:szCs w:val="24"/>
      <w:shd w:fill="FFFFFF" w:val="clear"/>
    </w:rPr>
  </w:style>
  <w:style w:type="character" w:styleId="Style18" w:customStyle="1">
    <w:name w:val="Текст Знак"/>
    <w:basedOn w:val="DefaultParagraphFont"/>
    <w:link w:val="af0"/>
    <w:qFormat/>
    <w:rsid w:val="006a0d97"/>
    <w:rPr>
      <w:rFonts w:ascii="Courier New" w:hAnsi="Courier New"/>
      <w:lang w:val="x-none" w:eastAsia="x-non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link w:val="ad"/>
    <w:rsid w:val="006d56d6"/>
    <w:pPr>
      <w:spacing w:before="0" w:after="12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Body Text Indent"/>
    <w:basedOn w:val="Normal"/>
    <w:rsid w:val="004424ee"/>
    <w:pPr>
      <w:ind w:firstLine="567"/>
      <w:jc w:val="both"/>
    </w:pPr>
    <w:rPr>
      <w:sz w:val="28"/>
    </w:rPr>
  </w:style>
  <w:style w:type="paragraph" w:styleId="BodyTextIndent3">
    <w:name w:val="Body Text Indent 3"/>
    <w:basedOn w:val="Normal"/>
    <w:qFormat/>
    <w:rsid w:val="004424ee"/>
    <w:pPr>
      <w:ind w:firstLine="567"/>
      <w:jc w:val="center"/>
    </w:pPr>
    <w:rPr>
      <w:sz w:val="28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rsid w:val="00de3d3a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ConsNormal" w:customStyle="1">
    <w:name w:val="ConsNormal"/>
    <w:qFormat/>
    <w:rsid w:val="007c08a1"/>
    <w:pPr>
      <w:widowControl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6"/>
    <w:qFormat/>
    <w:rsid w:val="00733dcd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b26a9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93a33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27">
    <w:name w:val="Footer"/>
    <w:basedOn w:val="Normal"/>
    <w:link w:val="aa"/>
    <w:uiPriority w:val="99"/>
    <w:rsid w:val="000b4f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сновной текст1"/>
    <w:basedOn w:val="Normal"/>
    <w:link w:val="ae"/>
    <w:qFormat/>
    <w:rsid w:val="009f74d3"/>
    <w:pPr>
      <w:shd w:val="clear" w:color="auto" w:fill="FFFFFF"/>
      <w:spacing w:lineRule="exact" w:line="298"/>
      <w:jc w:val="both"/>
    </w:pPr>
    <w:rPr>
      <w:sz w:val="24"/>
      <w:szCs w:val="24"/>
    </w:rPr>
  </w:style>
  <w:style w:type="paragraph" w:styleId="PlainText">
    <w:name w:val="Plain Text"/>
    <w:basedOn w:val="Normal"/>
    <w:link w:val="af1"/>
    <w:qFormat/>
    <w:rsid w:val="006a0d97"/>
    <w:pPr/>
    <w:rPr>
      <w:rFonts w:ascii="Courier New" w:hAnsi="Courier New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cc6b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chart" Target="charts/chart2.xml"/><Relationship Id="rId4" Type="http://schemas.openxmlformats.org/officeDocument/2006/relationships/chart" Target="charts/chart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Microsoft_Excel_Worksheet1.xlsx"/>
</Relationships>
</file>

<file path=word/charts/_rels/chart2.xml.rels><?xml version="1.0" encoding="UTF-8"?>
<Relationships xmlns="http://schemas.openxmlformats.org/package/2006/relationships"><Relationship Id="rId1" Type="http://schemas.openxmlformats.org/officeDocument/2006/relationships/package" Target="../embeddings/Microsoft_Excel_Worksheet2.xlsx"/>
</Relationships>
</file>

<file path=word/charts/_rels/chart3.xml.rels><?xml version="1.0" encoding="UTF-8"?>
<Relationships xmlns="http://schemas.openxmlformats.org/package/2006/relationships"><Relationship Id="rId1" Type="http://schemas.openxmlformats.org/officeDocument/2006/relationships/package" Target="../embeddings/Microsoft_Excel_Worksheet3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30"/>
      <c:rotY val="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0226875"/>
          <c:y val="0.131111111111111"/>
          <c:w val="0.89975"/>
          <c:h val="0.827222222222222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25"/>
          <c:dPt>
            <c:idx val="0"/>
            <c:explosion val="36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explosion val="25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explosion val="25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explosion val="25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explosion val="25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explosion val="25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25"/>
            <c:spPr>
              <a:solidFill>
                <a:srgbClr val="93a9ce"/>
              </a:solidFill>
              <a:ln w="0">
                <a:noFill/>
              </a:ln>
            </c:spPr>
          </c:dPt>
          <c:dPt>
            <c:idx val="7"/>
            <c:explosion val="25"/>
            <c:spPr>
              <a:solidFill>
                <a:srgbClr val="d09493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НДФЛ
29,4%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1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2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3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4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5"/>
              <c:numFmt formatCode="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6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
</c:separator>
            </c:dLbl>
            <c:dLbl>
              <c:idx val="7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
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eparator>
</c:separator>
            <c:showLeaderLines val="0"/>
          </c:dLbls>
          <c:cat>
            <c:strRef>
              <c:f>categories</c:f>
              <c:strCache>
                <c:ptCount val="8"/>
                <c:pt idx="0">
                  <c:v>НДФЛ</c:v>
                </c:pt>
                <c:pt idx="1">
                  <c:v>Акцизы</c:v>
                </c:pt>
                <c:pt idx="2">
                  <c:v>ЕСХН</c:v>
                </c:pt>
                <c:pt idx="3">
                  <c:v>Налоги на имущество </c:v>
                </c:pt>
                <c:pt idx="4">
                  <c:v>Доходы от использования имущества</c:v>
                </c:pt>
                <c:pt idx="5">
                  <c:v>Доходы от оказания платных услуг</c:v>
                </c:pt>
                <c:pt idx="6">
                  <c:v>Штрафы</c:v>
                </c:pt>
                <c:pt idx="7">
                  <c:v/>
                </c:pt>
              </c:strCache>
            </c:strRef>
          </c:cat>
          <c:val>
            <c:numRef>
              <c:f>0</c:f>
              <c:numCache>
                <c:formatCode>General</c:formatCode>
                <c:ptCount val="8"/>
                <c:pt idx="0">
                  <c:v>0.293469747405522</c:v>
                </c:pt>
                <c:pt idx="1">
                  <c:v>0.0660449709548985</c:v>
                </c:pt>
                <c:pt idx="2">
                  <c:v>0.00119933424711181</c:v>
                </c:pt>
                <c:pt idx="3">
                  <c:v>0.605606683636838</c:v>
                </c:pt>
                <c:pt idx="4">
                  <c:v>0.030268911950917</c:v>
                </c:pt>
                <c:pt idx="5">
                  <c:v>0.000979048364989231</c:v>
                </c:pt>
                <c:pt idx="6">
                  <c:v>0.00243130343972326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50"/>
      <c:rotY val="28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0069375"/>
          <c:y val="0.110555555555556"/>
          <c:w val="0.9930625"/>
          <c:h val="0.889444444444444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I пол. 2023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0"/>
          <c:dPt>
            <c:idx val="0"/>
            <c:spPr>
              <a:solidFill>
                <a:srgbClr val="558ed5"/>
              </a:solidFill>
              <a:ln w="0">
                <a:noFill/>
              </a:ln>
            </c:spPr>
          </c:dPt>
          <c:dPt>
            <c:idx val="1"/>
            <c:explosion val="11"/>
            <c:spPr>
              <a:solidFill>
                <a:srgbClr val="e46c0a"/>
              </a:solidFill>
              <a:ln w="0">
                <a:noFill/>
              </a:ln>
            </c:spPr>
          </c:dPt>
          <c:dPt>
            <c:idx val="2"/>
            <c:spPr>
              <a:solidFill>
                <a:srgbClr val="00b050"/>
              </a:solidFill>
              <a:ln w="0">
                <a:noFill/>
              </a:ln>
            </c:spPr>
          </c:dPt>
          <c:dPt>
            <c:idx val="3"/>
            <c:explosion val="19"/>
            <c:spPr>
              <a:solidFill>
                <a:srgbClr val="7030a0"/>
              </a:solidFill>
              <a:ln w="0">
                <a:noFill/>
              </a:ln>
            </c:spPr>
          </c:dPt>
          <c:dPt>
            <c:idx val="4"/>
            <c:explosion val="4"/>
            <c:spPr>
              <a:solidFill>
                <a:srgbClr val="00b0f0"/>
              </a:solidFill>
              <a:ln w="0">
                <a:noFill/>
              </a:ln>
            </c:spPr>
          </c:dPt>
          <c:dPt>
            <c:idx val="5"/>
            <c:explosion val="32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8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7"/>
            <c:explosion val="28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8"/>
            <c:explosion val="52"/>
            <c:spPr>
              <a:solidFill>
                <a:srgbClr val="b8cd97"/>
              </a:solidFill>
              <a:ln w="0">
                <a:noFill/>
              </a:ln>
            </c:spPr>
          </c:dPt>
          <c:dLbls>
            <c:numFmt formatCode="#,##0.0" sourceLinked="0"/>
            <c:dLbl>
              <c:idx val="0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Общегосударственные вопросы 28,3%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1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оборона 1,1%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2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экономика 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2,8%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3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Физическая культура 0,4%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4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ЖКХ 28,5%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5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безопасность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3,0%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6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Культура, кинематография 33,5%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7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Образование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 0,7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8"/>
              <c:numFmt formatCode="#,##0.0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Социальная политика 1,7%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9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экономика</c:v>
                </c:pt>
                <c:pt idx="3">
                  <c:v>Физическая культура</c:v>
                </c:pt>
                <c:pt idx="4">
                  <c:v>ЖКХ</c:v>
                </c:pt>
                <c:pt idx="5">
                  <c:v>Национальная безопасность</c:v>
                </c:pt>
                <c:pt idx="6">
                  <c:v>Культура</c:v>
                </c:pt>
                <c:pt idx="7">
                  <c:v>Образование</c:v>
                </c:pt>
                <c:pt idx="8">
                  <c:v>Социальная политика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9"/>
                <c:pt idx="0">
                  <c:v>3641.1</c:v>
                </c:pt>
                <c:pt idx="1">
                  <c:v>136.2</c:v>
                </c:pt>
                <c:pt idx="2">
                  <c:v>364.8</c:v>
                </c:pt>
                <c:pt idx="3">
                  <c:v>53.5</c:v>
                </c:pt>
                <c:pt idx="4">
                  <c:v>3675.2</c:v>
                </c:pt>
                <c:pt idx="5">
                  <c:v>388.4</c:v>
                </c:pt>
                <c:pt idx="6">
                  <c:v>4315.4</c:v>
                </c:pt>
                <c:pt idx="7">
                  <c:v>85.9</c:v>
                </c:pt>
                <c:pt idx="8">
                  <c:v>219.1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0"/>
          <c:dPt>
            <c:idx val="0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spPr>
              <a:solidFill>
                <a:srgbClr val="93a9ce"/>
              </a:solidFill>
              <a:ln w="0">
                <a:noFill/>
              </a:ln>
            </c:spPr>
          </c:dPt>
          <c:dPt>
            <c:idx val="7"/>
            <c:spPr>
              <a:solidFill>
                <a:srgbClr val="d09493"/>
              </a:solidFill>
              <a:ln w="0">
                <a:noFill/>
              </a:ln>
            </c:spPr>
          </c:dPt>
          <c:dPt>
            <c:idx val="8"/>
            <c:spPr>
              <a:solidFill>
                <a:srgbClr val="b8cd97"/>
              </a:solidFill>
              <a:ln w="0">
                <a:noFill/>
              </a:ln>
            </c:spPr>
          </c:dPt>
          <c:dLbls>
            <c:dLbl>
              <c:idx val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1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2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3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4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5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6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7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8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0"/>
            <c:showCatName val="0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9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экономика</c:v>
                </c:pt>
                <c:pt idx="3">
                  <c:v>Физическая культура</c:v>
                </c:pt>
                <c:pt idx="4">
                  <c:v>ЖКХ</c:v>
                </c:pt>
                <c:pt idx="5">
                  <c:v>Национальная безопасность</c:v>
                </c:pt>
                <c:pt idx="6">
                  <c:v>Культура</c:v>
                </c:pt>
                <c:pt idx="7">
                  <c:v>Образование</c:v>
                </c:pt>
                <c:pt idx="8">
                  <c:v>Социальная политика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9"/>
                <c:pt idx="0">
                  <c:v>0.282702878971397</c:v>
                </c:pt>
                <c:pt idx="1">
                  <c:v>0.0105748625733718</c:v>
                </c:pt>
                <c:pt idx="2">
                  <c:v>0.0283238609894717</c:v>
                </c:pt>
                <c:pt idx="3">
                  <c:v>0.00415385570980465</c:v>
                </c:pt>
                <c:pt idx="4">
                  <c:v>0.28535047672288</c:v>
                </c:pt>
                <c:pt idx="5">
                  <c:v>0.0301562160315538</c:v>
                </c:pt>
                <c:pt idx="6">
                  <c:v>0.335056989347495</c:v>
                </c:pt>
                <c:pt idx="7">
                  <c:v>0.00666946178452747</c:v>
                </c:pt>
                <c:pt idx="8">
                  <c:v>0.0170113978694991</c:v>
                </c:pt>
              </c:numCache>
            </c:numRef>
          </c:val>
        </c:ser>
      </c:pie3DChart>
    </c:plotArea>
    <c:plotVisOnly val="1"/>
    <c:dispBlanksAs val="gap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40"/>
      <c:rotY val="10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0044375"/>
          <c:y val="0"/>
          <c:w val="0.994"/>
          <c:h val="0.984333333333333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5"/>
          <c:dPt>
            <c:idx val="0"/>
            <c:explosion val="14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1"/>
            <c:explosion val="43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2"/>
            <c:explosion val="31"/>
            <c:spPr>
              <a:solidFill>
                <a:srgbClr val="92d050"/>
              </a:solidFill>
              <a:ln w="0">
                <a:noFill/>
              </a:ln>
            </c:spPr>
          </c:dPt>
          <c:dPt>
            <c:idx val="3"/>
            <c:explosion val="30"/>
            <c:spPr>
              <a:solidFill>
                <a:srgbClr val="b9cde5"/>
              </a:solidFill>
              <a:ln w="0">
                <a:noFill/>
              </a:ln>
            </c:spPr>
          </c:dPt>
          <c:dPt>
            <c:idx val="4"/>
            <c:explosion val="9"/>
            <c:spPr>
              <a:solidFill>
                <a:srgbClr val="ff66ff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Оплата труда и взносов по соц. страхованию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36,8%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 </c:separator>
            </c:dLbl>
            <c:dLbl>
              <c:idx val="1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Социальное обеспечение 1,7%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 </c:separator>
            </c:dLbl>
            <c:dLbl>
              <c:idx val="2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Закупка для муниципальных нужд 52,3%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 </c:separator>
            </c:dLbl>
            <c:dLbl>
              <c:idx val="3"/>
              <c:numFmt formatCode="0.0%" sourceLinked="0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Межбюджетные трансферты 1,6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 </c:separator>
            </c:dLbl>
            <c:dLbl>
              <c:idx val="4"/>
              <c:txPr>
                <a:bodyPr wrap="square"/>
                <a:lstStyle/>
                <a:p>
                  <a:pPr>
                    <a:defRPr b="0" sz="999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Иные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бюджетные ассигнования</a:t>
                    </a:r>
                    <a:r>
                      <a:rPr b="0" sz="999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7,6%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eparator> </c:separator>
            </c:dLbl>
            <c:txPr>
              <a:bodyPr wrap="square"/>
              <a:lstStyle/>
              <a:p>
                <a:pPr>
                  <a:defRPr b="0" sz="999" spc="-1" strike="noStrike">
                    <a:solidFill>
                      <a:srgbClr val="000000"/>
                    </a:solidFill>
                    <a:latin typeface="Calibri"/>
                    <a:ea typeface="Calibri"/>
                  </a:defRPr>
                </a:pPr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eparator> </c:separator>
            <c:showLeaderLines val="0"/>
          </c:dLbls>
          <c:cat>
            <c:strRef>
              <c:f>categories</c:f>
              <c:strCache>
                <c:ptCount val="5"/>
                <c:pt idx="0">
                  <c:v>Расходы на  выплаты персоналу и взносы по обязательному социальному страхованию</c:v>
                </c:pt>
                <c:pt idx="1">
                  <c:v>Социальное обеспечение</c:v>
                </c:pt>
                <c:pt idx="2">
                  <c:v>Закупка для муниципальных нужд</c:v>
                </c:pt>
                <c:pt idx="3">
                  <c:v>Межбюджетные трансферты</c:v>
                </c:pt>
                <c:pt idx="4">
                  <c:v>Иные бюджетные ассигнования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5"/>
                <c:pt idx="0">
                  <c:v>0.368101493835212</c:v>
                </c:pt>
                <c:pt idx="1">
                  <c:v>0.0170113978694991</c:v>
                </c:pt>
                <c:pt idx="2">
                  <c:v>0.522423056616665</c:v>
                </c:pt>
                <c:pt idx="3">
                  <c:v>0.0162893257554582</c:v>
                </c:pt>
                <c:pt idx="4">
                  <c:v>0.0761747259231653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589E0D4-9D89-4446-B2CD-279BB62D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Application>LibreOffice/7.0.1.2$Windows_X86_64 LibreOffice_project/7cbcfc562f6eb6708b5ff7d7397325de9e764452</Application>
  <Pages>6</Pages>
  <Words>1753</Words>
  <Characters>10717</Characters>
  <CharactersWithSpaces>12456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2017-04-11T12:45:00Z</dcterms:created>
  <dc:creator>User</dc:creator>
  <dc:description/>
  <dc:language>ru-RU</dc:language>
  <cp:lastModifiedBy/>
  <cp:lastPrinted>2023-07-25T09:08:48Z</cp:lastPrinted>
  <dcterms:modified xsi:type="dcterms:W3CDTF">2023-07-25T09:09:06Z</dcterms:modified>
  <cp:revision>194</cp:revision>
  <dc:subject/>
  <dc:title>                                  Пояснительная записка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